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270</w:t>
      </w:r>
    </w:p>
    <w:p>
      <w:r>
        <w:t>Bundesgericht (BGE), 2013-07-08, FR</w:t>
      </w:r>
    </w:p>
    <w:p>
      <w:r>
        <w:rPr>
          <w:b/>
        </w:rPr>
        <w:t xml:space="preserve">Quelle: </w:t>
      </w:r>
      <w:r>
        <w:t>https://mcp.opencaselaw.ch/entscheid/bge_139 IV 270</w:t>
      </w:r>
    </w:p>
    <w:p>
      <w:r>
        <w:t>FR: ATF 139 IV 270</w:t>
      </w:r>
    </w:p>
    <w:p>
      <w:r>
        <w:t>IT: DTF 139 IV 270</w:t>
      </w:r>
    </w:p>
    <w:p>
      <w:pPr>
        <w:pStyle w:val="Heading2"/>
      </w:pPr>
      <w:r>
        <w:t>Regeste</w:t>
      </w:r>
    </w:p>
    <w:p>
      <w:r>
        <w:t>Regeste Art. 231 und 233 StPO; Art. 31 Abs. 3 BV und Art. 5 Ziff. 3 EMRK; Sicherheitshaft während des Verfahrens vor dem Berufungsgericht; Zuständigkeit und Verhältnismässigkeit. Trotz des Wortlauts von Art. 233 StPO widerspricht es Sinn und Zweck dieser Bestimmung nicht, wenn die Verfahrensleitung des Berufungsgerichts als Gremium verstanden wird, deren Mitglieder innerhalb derselben Gerichtsinstanz entweder über Haftfragen entscheiden oder die Berufung in der Sache prüfen (E. 2). Bei der Beurteilung der Verhältnismässigkeit der Haft im Verfahren des Berufungsgerichts hat der Haftrichter nach Art. 231 ff. StPO zu berücksichtigen, dass die Staatsanwaltschaft mit der Berufung eine Strafverschärfung verlangt. Dies obwohl er grundsätzlich das angefochtene Strafurteil und die erstinstanzlich ausgesprochene Strafe nicht im Detail überprüft, sondern die Erfolgsaussichten des Vorgehens der Anklagebehörde lediglich prima facie beurteilt (E. 3).</w:t>
      </w:r>
    </w:p>
    <w:p>
      <w:pPr>
        <w:pStyle w:val="Heading2"/>
      </w:pPr>
      <w:r>
        <w:t>Erwägungen</w:t>
      </w:r>
    </w:p>
    <w:p>
      <w:r>
        <w:rPr>
          <w:b/>
        </w:rPr>
        <w:t>E. 2</w:t>
      </w:r>
    </w:p>
    <w:p>
      <w:r>
        <w:t>Le recourant se plaint d'une violation du droit à un procès équitable ( art. 6 par. 1 CEDH , art. 29 al. 1 et art. 30 al. 1 Cst. ), au motif que l'autorité judiciaire qui a statué sur sa demande de libération n'est pas celle qui est instituée par l' art. 233 CPP .</w:t>
      </w:r>
    </w:p>
    <w:p>
      <w:r>
        <w:rPr>
          <w:b/>
        </w:rPr>
        <w:t>E. 2.1</w:t>
      </w:r>
    </w:p>
    <w:p>
      <w:r>
        <w:t>A teneur de l' art. 233 CPP , la direction de la procédure de la juridiction d'appel statue dans les cinq jours sur les demandes de libération. L'autorité investie de la direction de la procédure de la juridiction d'appel est le président de la composition appelée à juger du fond (cf. art. 61 let . c CPP). L' art. 233 CPP a pour but d'éviter que le tribunal des mesures de contrainte, juridiction de première instance, décide des mesures de détention devant l'instance supérieure (Message du 21 décembre 2005 relatif à l'unification du droit de la procédure pénale, FF 2006 1217 ad art. 231). Le législateur a ainsi fait le choix d'attribuer à l'un des membres de la juridiction chargée de statuer sur l'appel du détenu la compétence de trancher les éventuelles demandes de mise en liberté formées par celui-ci. Le cumul des fonctions de juge de la détention et de juge du fond n'est pas sans inconvénients, notamment en créant un risque de prévention susceptible de conduire à une éventuelle récusation. Pour ce motif, certains auteurs suggèrent que les décisions en matière de détention pour des motifs de sûreté soient prises par un magistrat de la juridiction d'appel ne siégeant pas dans la composition appelée à trancher le fond (PIQUEREZ/MACALUSO, Procédure pénale suisse, 3 e éd. 2011, n. 1249; JO PITTELOUD, Code de procédure pénale suisse [CPC], BGE 139 IV 270 S. 273 Commentaire à l'usage des praticiens, 2012, n os 511 et 1194; MOREILLON/PAREIN-REYMOND, CPC, Code de procédure pénale, 2013, n° 2 ad art. 232 CPP ; ALAIN MACALUSO, Quelques aspects des procédures relatives à la détention avant jugement dans le CPP suisse, forum poenale 2011 p. 313 ss, spéc. 319 et 320; FRANÇOIS PAYCHÈRE, Privation de liberté et pouvoirs du juge d'appel: vers un conflit entre la CEDH et le nouveau CPP suisse?, SJ 2009 II p. 292 ss, p. 312 et 313). D'autres auteurs tiennent en revanche ce cumul des fonctions de juge de la détention et de juge du fond pour conforme à l' art. 6 CEDH (MARKUS BOOG , in Basler Kommentar, Schweizerische Strafprozessordnung, 2011, n° 27 ad art. 56 CPP ; MARTIN ZIEGLER, in Basler Kommentar, Schweizerische Strafprozessordnung, 2011, n° 1 ad art. 388 CPP ; GOLDSCHMID/MAURER/SOLLBERGER, Kommentierte Textausgabe zur Schweizerischen Strafprozessordnung [StPO] vom 5. Oktober 2007, 2008, p. 47; DANIEL LOGOZ, in Commentaire romand, Code de procédure pénale suisse, 2011, n° 2 ad art. 232 CPP ; ANDREAS J. KELLER , in Kommentar zur Schweizerischen Strafprozessordnung [StPO], 2010, n° 34 ad art. 56 CPP ; NIKLAUS SCHMID, Handbuch des schweizerischen Strafprozessrechts, 2009, p. 198 n. 514; REGINA KIENER, Richterliche Unabhängigkeit, 2001, p. 155 ss; FRÉDÉRIC SUDRE , Droit européen et international des droits de l'homme, 10 e éd., Paris 2011, p. 441; ROBERT LEVI, Zum Einfluss der Europäischen Menschenrechtskonvention auf das kantonale Prozessrecht - Erwartungen und Ergebnisse, RPS 106/1989 p. 233). Point n'est besoin d'approfondir ici cette question, laquelle a été tranchée par la jurisprudence, dans le cas particulier du président de l'autorité d'appel qui décerne un mandat d'amener lors des débats d'appel ( ATF 138 I 425 consid. 4.4 et 4.5 p. 432 ss).</w:t>
      </w:r>
    </w:p>
    <w:p>
      <w:r>
        <w:rPr>
          <w:b/>
        </w:rPr>
        <w:t>E. 2.2</w:t>
      </w:r>
    </w:p>
    <w:p>
      <w:r>
        <w:t>La loi s'interprète en premier lieu selon sa lettre (interprétation littérale).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 ATF 135 II 78 consid. 2.2).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137 IV 180 consid. 3.4). BGE 139 IV 270 S. 274</w:t>
      </w:r>
    </w:p>
    <w:p>
      <w:r>
        <w:rPr>
          <w:b/>
        </w:rPr>
        <w:t>E. 2.3</w:t>
      </w:r>
    </w:p>
    <w:p>
      <w:r>
        <w:t>En l'espèce, ce n'est pas la direction de la procédure, à savoir la magistrate de la Chambre pénale d'appel en charge de la procédure d'appel - C. - qui a statué sur la demande de mise en liberté litigieuse, mais une autre magistrate de la Chambre pénale d'appel - B. - qui ne fera pas partie de la composition qui siégera sur le fond. Dans ses déterminations devant le Tribunal de céans, la Présidente de la Chambre pénale d'appel expose que les magistrats de sa juridiction ont estimé préférable de faire trancher par un de ses membres - qui ne sera pas amené à examiner l'affaire au fond - les demandes de libération présentées devant elle. Elle précise que cette organisation interne a été mise en place afin d'éviter toute apparence de prévention. Une telle organisation s'écarte certes d'une interprétation strictement littérale de l' art. 233 CPP . Elle respecte toutefois pleinement le but visé par le législateur, à savoir empêcher qu'une juridiction inférieure statue sur la détention lorsque la cause est pendante devant l'instance supérieure. En outre, comme les juges concernés sont tous issus de la juridiction d'appel désignée par le droit cantonal (art. 129 s. LOJ/GE [RSG E 2 05]), on ne se trouve pas face à une décision rendue par une autorité matériellement incompétente (cf. ATF 139 III I 273 consid. 2.1 p. 276). Dans ces conditions, il n'apparaît contraire ni au but ni à l'esprit de l' art. 233 CPP de considérer la direction de la procédure d'appel comme une institution pouvant s'incarner dans des magistrats différents et, dès lors, de distinguer au sein d'une même juridiction les juges qui statuent sur des questions de détention de ceux qui examinent l'affaire au fond. Le recourant ne prétend au demeurant pas - à juste titre - qu'un tel système lui causerait un préjudice; cette organisation a par ailleurs le mérite d'éviter toute apparence de prévention de la part du magistrat chargé de vérifier les conditions de la détention devant la juridiction d'appel. D'ailleurs, le Tribunal fédéral a déjà eu l'occasion, dans ce domaine, de s'écarter du texte légal en considérant que rien ne s'opposait à ce que la juridiction in corpore statue en lieu et place de la direction de la procédure compétente pour rendre une décision en application de l' art. 232 CPP ( ATF 138 IV 81 consid. 2.1 p. 83). Par conséquent, le grief tiré de la violation de l' art. 30 al. 1 Cst. - dont la portée n'est pas plus étendue que celle de l' art. 6 par. 1 CEDH (AUER/MALINVERNI/HOTTELIER, Droit constitutionnel suisse, vol. II, 3 e éd. 2013, n. 1236) - doit être rejeté.</w:t>
      </w:r>
    </w:p>
    <w:p>
      <w:r>
        <w:rPr>
          <w:b/>
        </w:rPr>
        <w:t>E. 3</w:t>
      </w:r>
    </w:p>
    <w:p>
      <w:r>
        <w:t>Sur le fond, le recourant se prévaut d'une violation du principe de proportionnalité. Il infère de la condamnation prononcée en première BGE 139 IV 270 S. 275 instance à une peine privative de liberté de 32 mois, assortie d'un sursis partiel portant la partie ferme à huit mois, que la détention préventive ne pourrait pas dépasser ces huit mois. Il conteste que l'appel du Ministère public ait des chances d'aboutir et reproche à la Présidente de la Chambre pénale d'appel d'avoir manqué de retenue en considérant que les premiers juges apparaissaient ne pas avoir pris en considération l' art. 42 al. 2 CP lors de la fixation de la peine.</w:t>
      </w:r>
    </w:p>
    <w:p>
      <w:r>
        <w:rPr>
          <w:b/>
        </w:rPr>
        <w:t>E. 3.1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 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 ATF 133 I 168 consid. 4.1 p. 170; ATF 132 I 21 consid. 4.1 p. 27; ATF 107 Ia 256 consid. 2 et 3 p. 257 ss et les références). Il convient d'accorder une attention particulière à cette limite, car le juge - de première instance ou d'appel - pourrait être enclin à prendre en considération dans la fixation de la peine la durée de la détention préventive à imputer selon l' art. 51 CP ( ATF 133 I 168 consid. 4.1 p. 170 et les arrêts cités). Selon une jurisprudence constante, la possibilité d'un sursis, voire d'un sursis partiel, n'a en principe pas à être prise en considération dans l'examen de la proportionnalité de la détention préventive ( ATF 133 I 270 consid. 3.4.2 p. 281 et 282; ATF 125 I 60 ; arrêt 1B_750/2012 du 16 janvier 2013 consid. 2). Toutefois, lorsque le détenu a déjà été jugé en première instance, ce prononcé constitue un indice important quant à la peine susceptible de devoir être finalement exécutée. Même s'il n'a en principe pas à examiner en détail le bien-fondé du jugement et de la quotité de la peine prononcée en première instance, le juge de la détention, saisi en application des art. 231 ss CPP , ne peut faire abstraction de l'existence d'un appel du Ministère public tendant à une aggravation de la peine, et doit dès lors examiner prima facie les chances de succès d'une telle démarche. Le maintien en détention ne saurait être limité aux seuls cas où il existerait sur ce point une vraisemblance confinant à la certitude. L' art. 231 CPP BGE 139 IV 270 S. 276 ne pose d'ailleurs pas une telle condition pour le maintien en détention (arrêt 1B_43/2013 du 1 er mars 2013 consid. 4.1 et les arrêts cités). Dès lors, par analogie avec la notion de "forts soupçons" au sens de l' art. 221 al. 1 CPP , il y a lieu de déterminer, sur le vu de l'ensemble des circonstances pertinentes, soit en particulier compte tenu des considérants du jugement de première instance et des arguments soulevés à l'appui du recours, si la démarche de l'accusation est susceptible d'aboutir, avec une vraisemblance suffisante, à une aggravation de la sanction (arrêt 1B_43/2013 du 1 er mars 2013 consid. 4.1 et les arrêts cités).</w:t>
      </w:r>
    </w:p>
    <w:p>
      <w:r>
        <w:rPr>
          <w:b/>
        </w:rPr>
        <w:t>E. 3.2</w:t>
      </w:r>
    </w:p>
    <w:p>
      <w:r>
        <w:t>En l'espèce, le recourant a été condamné à une peine privative de liberté de 32 mois. Celle-ci a été assortie d'un sursis partiel, la partie ferme de la peine à exécuter étant de huit mois. En cas d'aboutissement complet de l'appel du Ministère public, ce sont ainsi jusqu'à 24 mois de détention supplémentaires qui devront être exécutés. Certes, il s'agit ici de tenir compte d'un sursis contesté mais déjà prononcé dans le jugement de première instance. Cela étant, l'examen des chances de succès de l'appel du Ministère public opéré dans l'arrêt attaqué relativise cet aspect. La cour cantonale a en effet retenu que les premiers juges lors de la fixation de la peine n'avaient pas pris en considération l' art. 42 al. 2 CP , qui prévoit que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soit de circonstances qui empêchent que l'infraction antérieure ne détériore le pronostic (Message du 21 septembre 1998 concernant la modification du code pénal suisse [...], FF 1999 1855). L'instance précédente a rappelé que le recourant avait été condamné à quatre reprises entre juin 2009 et décembre 2011, notamment en août 2009 à une peine privative de liberté de 180 jours, en particulier pour vols, dommages à la propriété et violations de domicile. Elle a estimé que l'existence de "circonstances particulièrement favorables" paraissait douteuse et que sous cet angle l'appel du Ministère public semblait prima facie avoir de bonnes chances de succès. Cet examen, effectué prima facie par le juge de la détention, est inhérent au système prévu par le législateur à l' art. 233 CPP . Ce faisant, l'ordonnance attaquée ne préjuge pas du sort de l'appel, mais BGE 139 IV 270 S. 277 évalue dans les grandes lignes la vraisemblance des chances de succès.</w:t>
      </w:r>
    </w:p>
    <w:p>
      <w:r>
        <w:rPr>
          <w:b/>
        </w:rPr>
        <w:t>E. 3.3</w:t>
      </w:r>
    </w:p>
    <w:p>
      <w:r>
        <w:t>Le recourant concentre son argumentation sur la question de la recevabilité de l'appel du Ministère public s'agissant de la contestation des classements prononcés par le Tribunal correctionnel. Cet élément ne démontre toutefois pas que ledit appel serait dénué de toute chance de succès, puisqu'une peine entièrement ferme peut être prononcée indépendamment de la reconnaissance de nouvelles infractions. Le recourant soutient aussi que la cour cantonale aurait dû tenir compte de la possibilité d'octroyer un sursis partiel au sens de l' art. 43 CP . Il n'expose cependant pas en quoi l'existence de "circonstances particulièrement favorables" au sens de l' art. 42 al. 2 CP pourrait être retenue. Or, les conditions subjectives permettant l'octroi du sursis ( art. 42 al. 2 CP ), à savoir les perspectives d'amendement, valent également pour le sursis partiel prévu à l' art. 43 CP ( ATF 134 IV 1 consid. 5.3.1 p. 10). Ainsi, le recourant ne parvient pas à démontrer que la démarche de l'accusation n'est pas susceptible d'aboutir à une reformatio in pejus. Dans ces conditions, la détention pour des motifs de sûreté demeure proportionnée à la peine à laquelle le recourant pourrait être condamné à l'issue de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